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11 107 vom 13. Juni 2013</w:t>
      </w:r>
    </w:p>
    <w:p>
      <w:r>
        <w:t>VS Kantonsgericht, 2013-06-13, FR</w:t>
      </w:r>
    </w:p>
    <w:p>
      <w:r>
        <w:rPr>
          <w:b/>
        </w:rPr>
        <w:t xml:space="preserve">Quelle: </w:t>
      </w:r>
      <w:r>
        <w:t>https://mcp.opencaselaw.ch/entscheid/vs_gerichte_C1 11 107</w:t>
      </w:r>
    </w:p>
    <w:p>
      <w:r>
        <w:t>FR: VS_GERICHTE C1 11 107 du 13 juin 2013</w:t>
      </w:r>
    </w:p>
    <w:p>
      <w:r>
        <w:t>IT: VS_GERICHTE C1 11 107 del 13 giugno 2013</w:t>
      </w:r>
    </w:p>
    <w:p>
      <w:pPr>
        <w:pStyle w:val="Heading2"/>
      </w:pPr>
      <w:r>
        <w:t>Regeste</w:t>
      </w:r>
    </w:p>
    <w:p>
      <w:r>
        <w:t>C1 11 107 JUGEMENT DU 13 JUIN 2013 Tribunal cantonal du Valais Cour civile I Composition: Jérôme Emonet, président, Hermann Murmann et Dr Lionel Seeberger, juges ; en la cause civile X__________, défenderesse et appelante, représentée par Maître A_________ contre Y_________et Z_________, demandeurs et appelés, représentés par Maître B_________ (responsabilité civile) * * * * *</w:t>
      </w:r>
    </w:p>
    <w:p>
      <w:pPr>
        <w:pStyle w:val="Heading2"/>
      </w:pPr>
      <w:r>
        <w:t>Erwägungen</w:t>
      </w:r>
    </w:p>
    <w:p>
      <w:r>
        <w:rPr>
          <w:b/>
        </w:rPr>
        <w:t>E. 4</w:t>
      </w:r>
    </w:p>
    <w:p>
      <w:r>
        <w:t>Dans un premier moyen, qu’elle développe en plusieurs sous-branches (cf. infra, consid. 4.1 à 4.4), l'appelante conteste la réalisation des conditions de la responsabilité délictuelle telle que régie par l’art. 41 CO.</w:t>
      </w:r>
    </w:p>
    <w:p>
      <w:r>
        <w:rPr>
          <w:b/>
        </w:rPr>
        <w:t>E. 4.1</w:t>
      </w:r>
    </w:p>
    <w:p>
      <w:r>
        <w:t>La responsabilité – délictuelle ou extracontractuelle – instituée par l'art. 41 CO suppose que soient réalisées cumulativement quatre conditions, à savoir un acte illicite, une faute de l'auteur, un dommage et un rapport de causalité (naturelle et adéquate) entre l'acte fautif et le dommage (ATF 132 III 122 consid. 4.1; arrêts du Tribunal fédéral 4A_594/2009 du 27 juillet 2010 consid. 3.2; 4C.77/2001 du 12 septembre 2001 consid. 2, non publié sur ce point aux ATF 127 III 496 ; Werro, in Commentaire romand, Code des obligations I [cité ci-après: CR-CO I], 2e éd. 2012, n. 7 ad art. 41 CO). L’art. 41 CO est en particulier susceptible de servir, faute de disposition plus spécifique, de fondement pour la réparation du préjudice causé par une opposition injustifiée à un projet de construction (Casanova, La réparation du préjudice causé par l’opposition injustifiée à un projet de construction [cité ci-après : La réparation], in BR/DC 1986, p. 75 ss, spéc. p. 76 ss; cf. ég. Lustenberger, Missbräuchliche Einspra- chen – Möglichkeiten und Grenzen der Sanktionierung, in BR/DC 2006 p. 36; RVJ 1984 225 consid. 8b/bb).</w:t>
      </w:r>
    </w:p>
    <w:p>
      <w:r>
        <w:rPr>
          <w:b/>
        </w:rPr>
        <w:t>E. 4.1.1</w:t>
      </w:r>
    </w:p>
    <w:p>
      <w:r>
        <w:t>Comme la jurisprudence du Tribunal fédéral l’a déjà relevé à plusieurs reprises, l’exercice abusif, malicieux ou contraire au principe de la bonne foi, de droits dans le cadre d’une procédure civile ou administrative peut constituer un acte illicite au sens de l’art. 41 CO (sur l’ensemble de la question, cf. arrêt du Tribunal fédéral 4C.353/2002 du 3 mars 2003 consid. 5.1 ; ATF 123 III 101 consid. 2a; 117 II 394 consid. 3b; 112 II 32 consid. 1a et 2a). La jurisprudence voit dans ce comportement une violation à une injonction non écrite de l’ordre juridique (ATF 117 II 394 consid. 4; 88 II 276 consid. 4b). D’un autre côté, il convient d’observer qu’en principe chaque citoyen est habilité, pour les prétentions dont il croit disposer, à faire appel à la protection des autorités étatiques. Il contreviendrait par conséquent au principe fondamental de l’Etat de droit de voir dans chaque procédure objectivement injustifiée un fait générateur de responsabilité (ATF 117 II 394 consid. 4). Est toutefois illicite au sens de l’art. 41 CO l’introduction d’une procédure à des fins étrangères à son but ou qui apparaît d’emblée manifestement dénuée de chances de succès (Casanova, Die Haftung der Parteien für prozessuales Verhalten [cité ci-après: Thèse], Diss. Freiburg 1982, p. 131 et 134). Agit par conséquent de manière abusive celui qui, en dépit de l’absence manifeste de chances de succès, forme une opposition ou un recours bénéficiant de l’effet suspensif, afin d’empêcher l’exécution d’un projet de construction (arrêt 4C.353/2002 précité et la réf. à Gadola, Die unbegründete Drittbeschwerde im öffentlichrechtlichen Bauprozess, - Korrektive zum Schutz des Baubewilligungspeten- ten, in ZBl 1995, p. 104; Hänni, Verhindertes Bauen: vom Gebrauch und Missbrauch</w:t>
      </w:r>
    </w:p>
    <w:p>
      <w:r>
        <w:t>- 13 - des öffentlichen Baurechts, in Baurechtstagung Freiburg 1993, Bd. 1, p. 57). Dans ce contexte, un moyen de droit doit être désigné comme dénué de chances de succès lorsque son introduction ne se laisse justifier par aucun motif soutenable (Casanova, Thèse, p. 134 s.). Une responsabilité fondée sur l’art. 41 CO ne doit être admise qu’exceptionnellement et avec retenue (ATF 124 III 297 consid. 5e), et qu’en présence d’un comportement intentionnel ou relevant de la négligence grossière, en particulier lorsque l’appréciation de la situation juridique est en jeu (arrêt 4C.353/2002 précité ; Schaltegger, Haftung des Nachbarn für Verzögerungsschaden infolge Erhebung von Rechtsmitteln gegen eine Baubewilligung?, in BR/DC 97, p. 101 ss ; sur l’ensemble de la question, cf. ég. Oftinger/Stark, Schweizerisches Haftpflichtrecht, 5. Aufl. 1995, Bd. II/1, p. 53 ss). Dans un arrêt rendu en 2005 – mais renvoyant notamment à des arrêts et de la doctrine (cf. Liver, Zürcher Kommentar, n. 106 ad art. 730 CC) plus anciens concernant la qualité pour agir des voisins, les motifs invocables dans la procédure d’opposition (interdiction de l’ « action populaire ») et le contenu admissible des conventions de servitude –, la Haute Cour a rappelé que les possibilités de faire opposition à des demandes de permis de construire ou à des plans de zone sont régies exhaustivement par le droit public, de sorte que la renonciation à la faculté de former de telles oppositions ne peut dès lors pas faire l'objet d'une servitude foncière (ATF 131 III 414 consid. 2.3).</w:t>
      </w:r>
    </w:p>
    <w:p>
      <w:r>
        <w:rPr>
          <w:b/>
        </w:rPr>
        <w:t>E. 4.1.2</w:t>
      </w:r>
    </w:p>
    <w:p>
      <w:r>
        <w:t>L'appelante réfute avoir commis un acte illicite : en particulier, elle dément avoir adopté un comportement abusif consistant dans l’utilisation, pour faire obstacle à la délivrance du permis de construire, de voies de droit manifestement vouées à l’échec et l’absence de motif réel et soutenable à la base de ses recours. De même, elle conteste avoir formé opposition au projet de construction dans l’unique but de faire signer aux époux Y_________ et Z__________ une convention constitutive de servitudes.</w:t>
      </w:r>
    </w:p>
    <w:p>
      <w:r>
        <w:rPr>
          <w:b/>
        </w:rPr>
        <w:t>E. 4.1.3</w:t>
      </w:r>
    </w:p>
    <w:p>
      <w:r>
        <w:t>Contrairement à l’avis de l’appelante, il ne pouvait lui échapper que son opposition, faute de reposer sur un motif valable, était d’emblée vouée à l’échec. En effet, dans la mesure où elle était elle-même tenue, conformément au plan d’assainissement déposé quelques mois plus tôt, de réduire les nuisances sonores produites par ses propres installations de manière à ce que celles-ci respectent les valeurs limites d’immissions, elle ne pouvait, sans commettre un abus de droit, fonder son opposition sur une insuffisance des mesures prises par les appelés pour protéger le bâtiment projeté contre ses émissions excessives. Il est à cet égard piquant de relever que le courrier accompagnatif envoyé le 8 février 2002 par le mandataire de l’appelante indique, en son dernier paragraphe de la page 1, que « jusqu’à ce jour, la société Tamoil a toujours respecté les normes environnementales qui constituent une préoccupation majeure pour la société qui, dans le cadre de la modernisation de la raffinerie, a consenti à des investissements importants dans ce domaine » (pièce 2, doss, p. 16 s.), alors que le projet de convention constitutive de servitudes foncières, imprimé le 7 février 2002, laisse apparaître l’inverse, à savoir « […] que les valeurs</w:t>
      </w:r>
    </w:p>
    <w:p>
      <w:r>
        <w:t>- 14 - limites d’immission de bruit sont sporadiquement dépassées dans la zone où est sise la parcelle no xxx susdécrite » (pièce 3, doss. p. 18 ss, spéc. p. 20). Il devait par ailleurs être clair, au plus tard lors de la prise de connaissance du document intitulé « synthèse des prises de position des organes consultés » établi le 14 mars 2002 par le Secrétariat cantonal des constructions – et intégrant le préavis positif du SPE –, que la construction projetée respectait les exigences de l’art. 31 OPB (cf. doss., p. 33), ce dont l’appelante aurait, au demeurant, pu se rendre compte antérieurement par la consultation des plans déposés à l’enquête publique et l’analyse des pièces de la maison. Aussi, en fondant son opposition sur un tel motif, puis en se prévalant d’une violation de l’art. 31 OPB devant les instances de recours successives, elle a exercé ses droits en procédure de manière abusive, par pur esprit de chicane. Devant le Conseil d’Etat, puis devant les instances supérieures, elle a tenté de donner un peu de consistance à son argumentation, en se prévalant d’autres dispositions du droit de l’environnement (notamment les art. 22 LPE et 36 OPE), qui, ainsi que cela ressort des décisions rendues, dépassaient toutefois le pouvoir d'examen des autorités de recours saisies. Enfin, le sort donné à ses recours par le Conseil d'Etat, qui a de surcroît souligné, au stade de la répartition des frais, l’absence de difficultés de la cause, ce qui est un indice de l’absence de complexité des problèmes juridiques soulevés, et par le Tribunal fédéral, consistant dans l’irrecevabilité du recours, confirment le caractère abusif de l'exercice de ses droits en procédure. L’appelante fait tour à tour valoir que le Tribunal cantonal a admis sa qualité pour recourir et a procédé à une analyse complète de ses arguments – ce qui dénoterait l’absence de recours abusif, « à tout le moins jusqu’à la décision du Tribunal cantonal » –, et que le terme « abusif » emprunté par le Tribunal fédéral dans son arrêt du 17 décembre 2003 (cf. supra, consid. 2.2.5 in fine) est à mettre au compte du contexte de l’ancienne OJ, qui ne permettait que difficilement de faire corriger l’état de fait d’un jugement rendu par une autorité judiciaire cantonale. La manière de voir de l’appelante est toutefois tronquée. En effet, il ressortait déjà des considérants de la décision rendue le 18 décembre 2002 par le Conseil d’Etat que l’appelante – en tant que sa démarche tendait à connaître « la charge et les sources du bruit sur la parcelle en cause, ainsi que le bruit résiduel après l’exécution de son plan d’assainissement » – , ne disposait d’aucun intérêt actuel à la procédure et ne possédait ainsi pas la qualité pour agir (cf. doss., p. 43), de sorte que le ch. 1 du dispositif indiquait, à juste titre, que le recours était déclaré irrecevable. Le Tribunal cantonal, puis fédéral, n’ont ainsi dû entrer en matière sur le recours que dans la mesure où, à la lecture du ch. 2 de son dispositif (« La décision de la municipalité de C_________ du 18 mars 2002 est confirmée »), le Conseil d’Etat a en définitive statué au fond en ignorant volontairement un motif d’irrecevabilité, bien que celui-ci n’ait pas pu lui échapper (cf. doss., p. 53). En ce qui concerne ensuite la convention de servitudes, l’appelante, en insistant dans le courrier du 8 février 2002 accompagnant son envoi, sur le fait qu’un assentiment à son contenu permettrait de débuter la construction à la date prévue, a tenté de faire pression sur les appelés pour essayer d’obtenir des avantages qui étaient sans commune mesure avec la prestation offerte en échange. Elle a en effet conditionné le retrait de son opposition prévu à l'art. 5 al. 1 à une renonciation générale des époux</w:t>
      </w:r>
    </w:p>
    <w:p>
      <w:r>
        <w:t>- 15 - Y_________ et Z__________ à former opposition à l’avenir à tout projet de construction sur son fonds ou à des modifications du plan d’affectation de zone de ce dernier (cf. supra, consid. 2.2.1), soit à des avantages dépassant largement les intérêts défendus dans le cadre de la procédure en cours, qui portaient sur le respect des prescriptions légales en matière de bruit. En agissant de la sorte, alors qu’elle savait son opposition fondée sur aucun motif soutenable et que la partie adverse n'était pas (encore) assistée d'un mandataire professionnel, elle a tenté de tirer profit de la situation dans l’unique but de satisfaire ses propres intérêts, qui plus est financiers, et non pas de se prémunir d’une violation des normes de construction et d’environnement. Ce faisant, elle a adopté un comportement abusif. Son attitude est d’autant plus critiquable que le contenu de la convention proposée était lui-même, en partie du moins, illicite puisque, selon la jurisprudence du Tribunal fédéral, la renonciation à la faculté de former opposition à une demande de permis de construire ne peut pas faire l’objet d’une servitude foncière (cf. supra, consid. 4.1.1 in fine). En définitive, l’appelante a, non seulement formé opposition, puis interjeté recours sans motif réel, ce qui constitue un comportement abusif, mais elle a encore fait usage de manière abusive de ses droits en procédure, en tentant de faire pression sur les appelés pour obtenir, par la signature d’une convention au contenu partiellement illicite, des avantages dépassant manifestement la contreprestation offerte, résidant dans le retrait de l’opposition, et les intérêts prétendument défendus dans le cadre de la procédure d’autorisation de construire.</w:t>
      </w:r>
    </w:p>
    <w:p>
      <w:r>
        <w:rPr>
          <w:b/>
        </w:rPr>
        <w:t>E. 4.2</w:t>
      </w:r>
    </w:p>
    <w:p>
      <w:r>
        <w:t>La responsabilité fondée sur l’art. 41 CO suppose ensuite une faute.</w:t>
      </w:r>
    </w:p>
    <w:p>
      <w:r>
        <w:rPr>
          <w:b/>
        </w:rPr>
        <w:t>E. 4.2.1</w:t>
      </w:r>
    </w:p>
    <w:p>
      <w:r>
        <w:t>Le premier jugement définissant de manière claire et complète la faute tant sous l'angle de l'art. 41 CO qu’en relation plus spécifiquement avec l'utilisation d'une voie de droit, l'on peut renvoyer à son considérant 4a/bb (cf. doss., p. 621 ss). On rappellera brièvement que la faute est définie comme un manquement de la volonté au devoir imposé par l’ordre juridique, et peut revêtir la forme d’une faute intentionnelle ou d’une négligence (Werro, CR-CO I, n. 56 ad art. 41 CO; cf. ég. Honsell, Schweizerisches Haftpflichtrecht, 3. Aufl. 2000, n. 2-4 ad § 6, p. 63). A cet égard, le fait pour une personne d'exercer un droit de procédure, dans le cadre d'une procédure administrative notamment, ne peut en principe entraîner la responsabilité civile de son auteur que s'il a agi par dol ou négligence grave (ATF 112 II 32 consid. 2a). Dans l’analyse de la faute, le manquement est objectivé, en ce sens que le responsable commet une faute lorsqu’il manque à la diligence dont aurait fait preuve une personne de la catégorie à laquelle il appartient (Werro, CR-CO I, n. 57 ad art. 41 CO; Honsell, op. cit., n. 18 ad § 6, p. 66; cf. ég. arrêt du Tribunal fédéral 4C.225/2003 du 24 février 2004 consid. 5.2 ; Oftinger/Stark, op. cit., n. 146 ad § 5). Pour choisir la catégorie déterminante, on prend en compte des éléments subjectifs tels que la formation, les connaissances techniques particulières, ou encore l’âge de l’auteur (Werro, CR-CO I, n. 57 ad art. 41 CO et les références sous notes de pied 166 et 167).</w:t>
      </w:r>
    </w:p>
    <w:p>
      <w:r>
        <w:rPr>
          <w:b/>
        </w:rPr>
        <w:t>E. 4.2.2</w:t>
      </w:r>
    </w:p>
    <w:p>
      <w:r>
        <w:t>En l’occurrence, l’appelante est une société mondialement active qui s’est, dès les prémisses de la procédure administrative, assurée les services d’un mandataire professionnel, nonobstant le fait que son représentant procédural dans le volet civil,</w:t>
      </w:r>
    </w:p>
    <w:p>
      <w:r>
        <w:t>- 16 - vraisemblablement désigné es qualité pour avoir assurer le suivi de celui administratif, l’administrateur L__________, est lui-même titulaire du brevet d’avocat (cf. procès- verbal du débat préliminaire et interrogatoire des parties, doss. p. 221 et 576). Compte tenu de ces circonstances – propres à l’appelante, respectivement à ses organes –, l’on était en droit d’attendre d’elle une attention plus grande et un examen plus circonstancié de la situation avant et lors du dépôt de l’opposition et l’utilisation des voies de recours. Il en va d’autant plus ainsi que, étant elle-même confrontée depuis plusieurs années à des procédures judiciaires – touchant singulièrement aux domaines de l’aménagement du territoire, du droit des constructions et de l’environnement –, elle était particulièrement à même de se rendre compte de l’atteinte particulièrement grave que ses démarches procédurales pourraient causer, pour le cas où elles s’en trouveraient mal fondées. Aussi, en formant opposition, sans motif réel, au projet des appelés, puis en usant de voies de recours, sans que les arguments invoqués ne revêtent de consistance, elle a agi à tout le moins par négligence grave.</w:t>
      </w:r>
    </w:p>
    <w:p>
      <w:r>
        <w:rPr>
          <w:b/>
        </w:rPr>
        <w:t>E. 4.3</w:t>
      </w:r>
    </w:p>
    <w:p>
      <w:r>
        <w:t>La troisième condition consiste dans l’existence d’un lien de causalité entre l’acte illicite reproché et le dommage causé. A cet égard, l'appelante prétend que la durée de la procédure administrative, les importantes modifications apportées par Y_________ et Z_________ au projet postérieurement à la délivrance de l’autorisation de construire et le début des travaux plusieurs mois après l’arrêt du Tribunal fédéral constituent autant de facteurs interruptifs du lien de causalité entre son comportement et le préjudice allégué. De son point de vue, il serait, à tout le moins, exclu de la tenir pour responsable de l’entier du retard dans le début de la construction, chiffré à 27 mois par l’expert.</w:t>
      </w:r>
    </w:p>
    <w:p>
      <w:r>
        <w:rPr>
          <w:b/>
        </w:rPr>
        <w:t>E. 4.3.1</w:t>
      </w:r>
    </w:p>
    <w:p>
      <w:r>
        <w:t>Il y a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de la vraisemblance prépondérante (sur cette notion, cf. ATF 133 III 81 consid. 4.2.2 ; 132 III 715 consid. 3.1; 130 III 321 consid. 3.2). En pareil cas, l'allègement de la preuve se justifie par le fait que, en raison de la nature même de l'affaire, une preuve stricte n'est pas possible ou ne peut être raisonnablement exigée de celui qui en supporte le fardeau (ATF 133 III 462 consid. 4.4.2). Pour fonder une responsabilité résultant d'un comportement abusif adopté en procédure, ce lien de causalité doit également être nécessairement établi (arrêt du Tribunal fédéral 4A_218/2012 du 24 juillet 2012 consid. 3.3 et la réf. à Casanova, Thèse, p. 72 s.). La causalité adéquate existe lorsque le comportement incriminé était propre, d'après le cours ordinaire des choses et l'expérience générale de la vie, à entraîner un résultat du genre de celui qui s'est produit. S'agissant d'une question de droit, c'est au juge qu'il appartient de la trancher, et non pas à l’expert. Toutefois, si, en principe, le juge n'est pas lié par les conclusions d'une expertise judiciaire, il ne saurait s'en écarter sans motifs sérieux et doit motiver sa décision sur ce point. Pour le reste, l'appréciation concrète de la valeur d'une expertise relève du fait (arrêts du Tribunal fédéral 4A_315/2011 du 25 octobre 2011 consid. 3.2 ; 4C.88/2004 du 2 juin 2004 consid. 4.1).</w:t>
      </w:r>
    </w:p>
    <w:p>
      <w:r>
        <w:t>- 17 - La responsabilité pour le dommage résultant du retard pris du fait de la procédure d’opposition n’incombe pas nécessairement au seul opposant. Suivant les cas, l’administration et l’autorité judiciaire peuvent également être prises à partie par le lésé (RVJ 1984 225 consid. 5b in fine).</w:t>
      </w:r>
    </w:p>
    <w:p>
      <w:r>
        <w:rPr>
          <w:b/>
        </w:rPr>
        <w:t>E. 4.3.2</w:t>
      </w:r>
    </w:p>
    <w:p>
      <w:r>
        <w:t>En ce qui concerne tout d’abord la durée de la procédure administrative, l’appelante est mal venue de s’en plaindre, sauf à commettre derechef un abus de droit, dans la mesure où elle a elle-même fait un usage illicite des procédés légaux à sa disposition. Nonobstant cela, le traitement des recours interjetés devant les instances administratives et judiciaires successives, qui a oscillé entre 6 et 8 mois pour le plus long – laps de temps comprenant toutefois la consultation et l’établissement d’un rapport par le SPE (cf. supra consid. 2.2.3) –, ne prête pas le flanc à la critique, et n’a du reste donné lieu à aucune plainte pour déni de justice auprès d’une autorité supérieure. Une rupture du lien de causalité, résultant du propre comportement des autorités, n’entre ainsi pas en considération. De même, les quelques modifications apportées au projet postérieurement à l’arrêt du Tribunal fédéral ne constituent pas non plus des facteurs interruptifs de causalité. L’expert a en effet exposé dans son rapport du 22 février 2010 qu’elles tendaient à ramener le coût de construction total, que la hausse générale des coûts durant la procédure d’opposition et de recours – intentée par l’appelante – avait fait augmenter, dans le budget et l’engagement possible des appelés (doss., p. 526). Dans ces circonstances, force est d’admettre que la nécessité de modifier le projet trouve son origine dans le propre comportement procédural adopté par l’appelante. Il suit de là que l’argument pris d’une interruption du lien de causalité, pour divers motifs, ne peut qu’être rejeté. Il a en revanche été circonscrit en fait (cf. supra, consid. 3.2.5) qu’il n’existait déjà pas de lien de causalité entre le paiement des intérêts du prêt contracté en l’an 2000 afin d’acquérir la parcelle no 3630 et la procédure d’opposition initiée le 21 janvier 2002, dans la mesure où, indépendamment de toute construction d’une villa sur le bien- fonds, les intérêts en question devaient de toute manière être payés. Bien que l’expert ait admis ce poste dans le calcul du dommage, la cour de céans ne saurait être liée par cette appréciation, qui relève en définitive de l’apanage de l’autorité de jugement. Partant, le règlement allégué, mais du reste non démontré (cf. supra, consid. 3.2.5), de la somme de 4720 fr.25 au titre des intérêts hypothécaires en relation avec le terrain ne peut être pris en compte.</w:t>
      </w:r>
    </w:p>
    <w:p>
      <w:r>
        <w:rPr>
          <w:b/>
        </w:rPr>
        <w:t>E. 4.4</w:t>
      </w:r>
    </w:p>
    <w:p>
      <w:r>
        <w:t>L’ultime condition à réaliser pour retenir une responsabilité fondée sur l’art. 41 CO consiste en l’existence d’un dommage.</w:t>
      </w:r>
    </w:p>
    <w:p>
      <w:r>
        <w:rPr>
          <w:b/>
        </w:rPr>
        <w:t>E. 4.4.1</w:t>
      </w:r>
    </w:p>
    <w:p>
      <w:r>
        <w:t>Il n'est pas contesté que le présent différend s'inscrit tout entier dans le cadre d'une action en responsabilité délictuelle fondée sur l'art. 41 CO, au moyen de laquelle les demandeurs et appelés cherchent à obtenir la réparation d'un dommage purement économique, à savoir d'un préjudice apparu sans qu'il y ait eu atteinte à l'intégrité d'une personne ou endommagement, destruction ou perte d'une chose (ATF 133 III 323 consid. 5.1; 118 II 176 consid. 4b; Schnyder, in Basler Kommentar, Obligationenrecht I,</w:t>
      </w:r>
    </w:p>
    <w:p>
      <w:r>
        <w:rPr>
          <w:b/>
        </w:rPr>
        <w:t>E. 4.4.2</w:t>
      </w:r>
    </w:p>
    <w:p>
      <w:r>
        <w:t>Dans le cas particulier, les appelés ont, du fait du retard pris dans la construction de leur villa en raison du comportement procédurier abusif de l’appelante, dû encourir des frais de logement en tant que locataires – plus élevés que s’ils avaient pu occuper leur villa comme copropriétaires –, assumer un surcoût des intérêts hypothécaires en relation avec le crédit de construction auprès de H__________ et également payer des intérêts intercalaires ; ils ont également dû pâtir de l’augmentation du coût de la construction, les prix pratiqués en 2004 par les différents corps de métier n’étant pas les mêmes que ceux en 2002, et ont dû s’acquitter d’honoraires complémentaires du fait de la réadaptation de leur projet (cf. supra, consid. 3.2.1 ss). En d’autres termes, ils ont connu une atteinte à leur patrimoine en</w:t>
      </w:r>
    </w:p>
    <w:p>
      <w:r>
        <w:t>- 19 - raison de ces frais supplémentaires. S’agissant plus spécifiquement des intérêts hypothécaires, il convient de relever que l’on ne se trouve pas dans le cas de figure envisagé par la Haute cour notamment dans son arrêt 4A_282/2009, qui visait l’hypothèse d’intérêts hypothécaires acquittés en relation avec une habitation déjà construite : or, dans le cas particulier, le préjudice subi par les appelés est lié non pas seulement à l’absence d’usage de leur villa, mais bien au retard pris dans la construction de celle-ci. Il s’agit donc typiquement d’un « dommage intermédiaire », susceptible de donner lieu à réparation, contrairement, de lege lata, au dommage de commercialisation. L’ampleur exacte du dommage sera examinée ci-après.</w:t>
      </w:r>
    </w:p>
    <w:p>
      <w:r>
        <w:rPr>
          <w:b/>
        </w:rPr>
        <w:t>E. 4.5</w:t>
      </w:r>
    </w:p>
    <w:p>
      <w:r>
        <w:t>; 132 III 249 consid. 3.5 ; 130 III 182 consid. 5.5.2 ; arrêt du Tribunal fédéral 4A_319/2010 du 4 octobre 2010 consid. 3).</w:t>
      </w:r>
    </w:p>
    <w:p>
      <w:r>
        <w:rPr>
          <w:b/>
        </w:rPr>
        <w:t>E. 5</w:t>
      </w:r>
    </w:p>
    <w:p>
      <w:r>
        <w:t>L’appelante conteste ensuite la quotité du dommage, sur différents points, examinés ci-après (cf. infra, consid. 5.2 ss).</w:t>
      </w:r>
    </w:p>
    <w:p>
      <w:r>
        <w:rPr>
          <w:b/>
        </w:rPr>
        <w:t>E. 5.1</w:t>
      </w:r>
    </w:p>
    <w:p>
      <w:r>
        <w:t>D’une manière générale, il appartient à la partie demanderesse d'alléguer et de prouver les faits permettant de constater le dommage (art. 8 CC et 42 al. 1 CO; ATF 136 III 322 consid. 3.4.2 ; arrêt du Tribunal fédéral 4A_399/2012 du 3 décembre 2012 consid. 2.1.2). En Valais, jusqu’à l’entrée en vigueur du code de procédure civile suisse, le procès civil était en principe régi par la maxime des débats (art. 63 al. 1 CPC/VS). Selon l'art. 66 al. 1 CPC/VS, les parties doivent exposer au juge l'état de fait concernant le litige et, dans les causes où la loi n'impose pas la maxime d'office, seuls les faits allégués sont pris en compte. Les parties doivent alléguer les faits en principe, dans les écritures, mais au plus tard, jusqu'au débat préliminaire (art. 145 al. 1 CPC/VS; RVJ 2003 148 consid. 3a). Les seuls tempéraments apportés à la règle du fardeau de l'allégation des faits sont ceux prévus à l'art. 66 al. 4 CPC/VS, qui prévoit que le juge peut tenir compte des faits notoires, non particuliers à la cause, des faits patents, implicitement admis par les parties et non allégués par inadvertance, ainsi que des faits révélés par une expertise écrite (sur l’ensemble de la question, cf. arrêt du Tribunal fédéral 5D_42/2007 du 18 février 2008 consid. 2.1, in RSPC 2008, no 622, p. 243 s.). Par ailleurs, le juge peut autoriser l’expert à exiger la production de titres et à interroger des tiers (art. 177 al. 1, 1re phrase, CPC/VS). En vertu de l'art. 145 CPC/VS, les parties ne peuvent plus faire valoir de nouveaux moyens de preuve, après le débat préliminaire (al. 1). Toutefois, le juge peut d'office, même au débat final, faire administrer des preuves qui n'ont pas été proposées par les parties, s'il résulte des actes que ces preuves sont nécessaires pour établir, dans leur intégrité et leur vérité, les faits allégués sur lesquels reposent les droits et prétentions des parties (al. 2).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(ATF 133 III 462 consid. 4.4.2 ; 122 III 219 consid. 3a).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w:t>
      </w:r>
    </w:p>
    <w:p>
      <w:r>
        <w:t>- 20 - intérêts. L'exception de l'art. 42 al. 2 CO à la règle du fardeau de la preuve doit être appliquée de manière restrictive (ATF 133 III 462 consid. 4.4.2 ; 122 III 219 consid. 3a; cf. ég. ATF 128 III 271 consid. 2b/aa; Werro, RC, n. 964, p. 245; Brehm, op. cit., n. . 52 ad art. 42 CO; Chaix, La fixation du dommage par le juge [art. 42 al. 2 CO], in Le préjudice - une notion en devenir, Zurich 2005, n. 22, p. 39 ss). Conformément à l'art. 44 al. 1 CO, les dommages-intérêts peuvent être réduits ou refusés lorsque des faits dont le lésé est responsable ont contribué à créer ou à augmenter le dommage, ou ont aggravé la situation du débiteur. En tant qu'une réduction se justifie, le juge en détermine l'importance selon les règles du droit et de l'équité (art. 4 CC) et il jouit d'un large pouvoir d'appréciation (ATF 128 III 390 consid.</w:t>
      </w:r>
    </w:p>
    <w:p>
      <w:r>
        <w:rPr>
          <w:b/>
        </w:rPr>
        <w:t>E. 5.2</w:t>
      </w:r>
    </w:p>
    <w:p>
      <w:r>
        <w:t>L’appelante s'en prend tout d'abord aux prétentions pour l'eau et l'épuration, le ramonage et l'électricité, en invoquant une violation des règles procédurales relatives au dépôt des pièces sur lesquelles l’expert s’est fondé pour chiffrer ces postes aux montants respectifs de 249 fr. 65, de 191 fr. 85 et de 1895 fr. 95 (cf. supra, consid. 3.2.1). Si le magistrat intimé a certes admis une transgression de l'art. 143 al. 2 CPC/VS s’agissant du dépôt de ces dernières (pièce 33), il a toutefois considéré que, dans la mesure où l’appelante n’avait pas sollicité leur retrait du dossier dans les</w:t>
      </w:r>
    </w:p>
    <w:p>
      <w:r>
        <w:rPr>
          <w:b/>
        </w:rPr>
        <w:t>E. 5.3</w:t>
      </w:r>
    </w:p>
    <w:p>
      <w:r>
        <w:t>L’appelante reproche ensuite au magistrat de première instance, suivant en cela l’expert, d’avoir tenu pour déterminant le délai de 27 mois en tant que durée du retard accumulé dans la construction de la villa, du fait de la procédure d’opposition puis de recours. Comme déjà exposé (cf. supra, consid. 3.2.5), cette critique est partiellement fondée, puisqu’il a été retenu que les appelés auraient pu normalement débuter le chantier de construction au mois d’avril 2004, plutôt qu’en juillet/août de la même année. L’appelante n’a ainsi pas à répondre du dommage résultant des 3 mois d’attente, imputable au propre comportement des appelés (art. 44 al. 1 CO), et il doit en être tenu compte dans la fixation de l’indemnité. Les charges relatives à l’épuration des eaux et au ramonage ont un caractère relativement périodique et fixe, tout comme</w:t>
      </w:r>
    </w:p>
    <w:p>
      <w:r>
        <w:t>- 21 - le montant du loyer (après déduction du « loyer hypothécaire » ; cf. supra, consid. 3.2.3), et même les intérêts hypothécaires en relation avec la villa, à tout le moins pour les mois de la même année déterminante (i.e. 2004). La cour de céans peut en conséquence, en application de l’art. 42 al. 2 CO, procéder d’elle-même à la réduction pro rata temporis (- 11% [24 mois / 27 mois x 100 = 88,88 %; 100 – 88,88 = 11]) des postes du dommages, admis dans leur principe, mais tels qu’initialement calculés par l’expert sur une durée de 27 mois. La durée du retard pris par la construction en raison de l’attitude de l’appelante est en revanche sans influence pour ce qui est du montant des honoraires et des coûts complémentaires, étant ici précisé que les tarifs applicables pour les prestations et les matériaux ne sont pas supposés avoir fluctué au courant de la même année déterminante (i.e. 2004). La situation peut ainsi être schématisée de la manière suivante : Poste du dommage Montant admis pour 27 mois Montant réduit pour 24 mois (- 11%) Eau et épuration 249.65 222.20 Ramonage 191.85 170.75 Electricité et chauffage 1895.95 1687.40 Loyers 20'011.30 17'810.05 Surcoût intérêts hypothéc. 300.25 267.20 Intérêts intercalaires 3684.45 3279.15 Honoraires supplémentaires 13'076.00 (inchangé) 13'076.00 Augmentation du coût de la Construction 24'560.00 (inchangé) 24'560.00 Total</w:t>
      </w:r>
    </w:p>
    <w:p>
      <w:r>
        <w:t>61'072.75</w:t>
      </w:r>
    </w:p>
    <w:p>
      <w:r>
        <w:rPr>
          <w:b/>
        </w:rPr>
        <w:t>E. 5.4</w:t>
      </w:r>
    </w:p>
    <w:p>
      <w:r>
        <w:t>En résumé, l’appelante doit se voir condamnée à verser aux appelés, solidairement entre eux (art. 150 al. 1 CO), la somme de 61’072 fr.75. 6. L'appelante s'en prend encore au point de départ de l'intérêt moratoire, fixé en première instance – tel que sollicité par les demandeurs et appelés – au 17 mai 2004, correspondant au jour de la première séance en conciliation devant le juge de commune de C_________(pièce 9, doss. p. 66). La première nommée est d’avis que comme les demandeurs et appelés n’ont en définitive choisi d’introduire leur mémoire- demande que le 29 août 2007, soit plus de 3 ans plus tard, elle n’a pas à assumer les intérêts avant cette date. L’appelante, qui fait référence dans son écriture d’appel à des « intérêts moratoires », perd toutefois de vue, s’agissant d’une action fondée sur un acte illicite, que les intérêts réclamés sont de nature compensatoire, et courent, au taux de 5% (art. 73 al. 1 CO), en principe à partir du jour de l’événement dommageable ; ils sont par ailleurs dus sans interpellation ni demeure (sur l’ensemble de la question, cf. ATF 131 III 12 consid. 9.1 ; arrêt du Tribunal fédéral 4A_481/2009 du 26 janvier 2010 consid. 4.2.8 ; Werro,</w:t>
      </w:r>
    </w:p>
    <w:p>
      <w:r>
        <w:t>- 22 - CR-CO I, n. 17 ad art. 42 CO ; Oftinger/Stark, op. cit., n. 23 ad § 6). Dans la mesure où l’acte illicite consiste in casu en l’opposition formée de manière abusive le 21 janvier 2002, l’intérêt compensatoire aurait donc pu être sollicité dès cette date. Toutefois, afin de ne pas violer le principe ne ultra petita qui découlait en son temps de l’art. 66 al. 5 CPC/VS, il convient de confirmer purement et simplement que la somme de 61’072 fr.75 portera intérêt – compensatoire – au taux de 5% l’an dès le 17 mai 2004, comme sollicité dans la demande. 7. L'appelante ne soulevant plus l'exception de prescription – dont le juge intimé a rejeté le bien-fondé (cf. consid. 6 de la décision entreprise) –, il n'y a pas lieu à réexamen de ce point en instance d’appel. 8. En définitive, l’appel est très partiellement admis, en ce sens que l’appelante devra verser, solidairement entre eux, aux demandeurs et appelés, la somme de 61’072 fr.75 (et non pas 68'690 fr.10), plus intérêt au taux de 5% l’an dès le 17 mai 2004. Il reste à statuer sur le sort des frais et dépens, soumis, s'agissant de leur quotité, à la loi fixant le tarif des frais et dépens devant les instances judiciaires ou administratives du 11 février 2009 (cf. art. 46 LTar) et, s'agissant de leur répartition, au CPC/VS pour ce qui concerne la première instance et au nouveau droit de procédure civile (i.e. CPC) en instance d'appel. 8.1 L’appelante conteste la répartition des frais de première instance, que le juge intimé à mis intégralement à sa charge en se fondant sur le sort des dernières conclusions des appelés, admises dans leur quasi intégralité. Elle soutient que la réduction des conclusions opérée par ces derniers à réception du rapport d’expertise, peu avant le débat final, constitue un "cas manifeste de désistement" au sens de l'art. 252 CPC/VS, ses prétentions initiales étant manifestement exagérées. 8.1.1 L’art. 252 al. 1 CPC/VS reprend la règle générale, selon laquelle, en procédure civile, les frais sont répartis entre les parties selon qu'elles succombent, respectivement qu'elles ont gain de cause. A ce sujet ce ne sont pas les conclusions finales, mais plutôt les modifications de la valeur litigieuse au cours de la procédure qu'il faut prendre en considération (RVJ 2008 237 consid. 2a). Lorsqu'aucune des parties n'a entièrement gain de cause, les frais sont répartis entre elles (art. 252 al. 1 CPC/VS). Il peut être fait exception à cette règle, en particulier lorsque la partie qui succombe pouvait de bonne foi se croire fondée à procéder ou lorsque le demandeur ne pouvait chiffrer exactement la prétention dont le principe a été admis (art. 252 al. 2 CPC/VS; cf. ég. arrêts du Tribunal fédéral 4A_407/2008 du 18 décembre 2008 consid. 6.1.2 ; 5D_6/2011 du 3 juin 2011 consid. 2.3 et les auteurs cités). 8.1.2 En l'espèce, après avoir initialement conclu dans leur mémoire-demande, acte fondant la litispendance (cf. art. 122 al. 1 CPC/VS a contrario), au paiement de 125'153 fr. 80, les appelés ont, par exploit du 19 janvier 2011, soit peu de temps après la réception du rapport d’expertise complémentaire, réduit leurs prétentions à 69'950 francs. Le premier juge a dûment pris en compte l’abaissement des conclusions</w:t>
      </w:r>
    </w:p>
    <w:p>
      <w:r>
        <w:t>- 23 - des demandeurs, dans la mesure où il a arrêté, après avoir qualifié la difficulté de la cause de moyenne, le montant de l’émolument de justice à 6000 fr. (cf. art. 16 al. 1 LTar : émolument oscillant de 2700 fr. à 8000 fr. lorsque la valeur litigieuse varie entre 50'001 et 100'000 fr.), alors que les avances de frais pour l’émolument de justice (4000 fr. par partie) avaient été requises sur la base d’une valeur litigieuse initiale de 125'153 fr.80. Aussi, les frais et débours de première instance, par 12'075 fr.80 au total (6000 fr. : émolument ; 75 fr. : débours huissier ; 56 fr. : débours témoins ; 3947 fr.40 : débours pour l’expertise ; 1997 fr.40 : débours pour le complément d’expertise), doivent être confirmés quant à leur ampleur. Pour ce qui est de leur répartition, et contrairement à l’avis de l'appelante, l’estimation du préjudice résultant du retard pris dans la construction n'était pas d'emblée évidente, vu le nombre de postes concernés et la complexité de certains d'entre eux (cf. détermination du surcoût des intérêts hypothécaires, et de l’augmentation des coûts de construction notamment), qui ont nécessité l'intervention d'un spécialiste du domaine de la construction. Aussi, dans la mesure où le principe de la responsabilité délictuelle de l'appelante a, en définitive, été admise, et par là-même, les prétentions requises dans leur fondement, ajouté au fait que, vu l’issue de la procédure, les appelés pouvaient de bonne foi se croire fondés à procéder et qu’une réduction à un stade antérieur des conclusions n'aurait pas simplifié la procédure, le juge intimé pouvait, en application de l’art. 252 al. 2 CPC/VS et sans violer le large pouvoir d'appréciation qui lui appartient lors de la répartition des frais, mettre l’entier de ceux de première instance, par 12'075 fr. 80, à la charge de l'appelante, lors même que certains postes dont l’expert avait tenu compte dans ses rapports ont été écartés pour des motifs procéduraux (cf. bois de chauffage: 1260 francs]). Dans ces circonstances, il y a lieu de confirmer l’obligation pour l’appelante de rembourser à l'appelée ses avances de frais, effectuées à concurrence de 8000 francs (cf. doss., p. 643). 8.2 L’appel a été très partiellement admis, en ce sens que l’appelante se voit condamnée en définitive à régler la somme de 61’072 fr.75 et non pas 68'690 fr.10, ce qui représente une réduction d’un peu plus de 10 %. Elle supportera par conséquent 7/8ème des frais d’appel, le solde incombant aux appelés. Compte tenu de la valeur litigieuse, de la difficulté ordinaire de la cause, mais du nombre important de points contestés, de la situation financière des parties ainsi que des principes de la couverture des frais et de l'équivalence des prestations, les frais d’appel sont fixés à 2400 fr., débours compris (art. 13, 16 al. 1 et 19 LTar) et prélevés sur l’avance de l’appelante à qui les appelés rembourseront 300 fr., correspondant à la part de 1/8ème mise à leur charge. 8.3 8.3.1 Compte tenu du sort des frais de première instance (cf. art. 260 al. 1 CPC/VS), il n'y a pas lieu à modification du sort et du montant – non contesté – des dépens alloués par le premier magistrat. Aussi, l'appelante versera aux appelés,</w:t>
      </w:r>
    </w:p>
    <w:p>
      <w:r>
        <w:t>- 24 - solidairement entre eux, 9500 fr. à ce titre. Ceux-ci verseront, solidairement entre eux, à celle-là, 750 fr. à ce même titre, comprenant 250 fr. pour la procédure d'assistance judiciaire (C2 07 360) et 500 fr. à titre d’indemnité pour les débours inutiles causés par le report de la séance d'expertise du 15 septembre 2009 (doss., p. 499). 8.3.2 Vu les principes sus-exposés (cf. art. 27 LTar) et le sort des frais, les dépens de l’appelante, dont l’activité du conseil a consisté à rédiger une écriture de recours de 17 pages, sont fixés à 4400 fr., et ceux des appelés, dont le conseil a rédigé une brève réponse, sont fixés à 3200 fr. (art. 32 al. 1 et 35 al. 1 let. a LTar). Vu le sort des frais, X__________ versera à titre de dépens, solidairement entre eux, 2800 fr. à Z_________ et Y_________, qui lui verseront, au même titre, 550 francs.</w:t>
      </w:r>
    </w:p>
    <w:p>
      <w:r>
        <w:rPr>
          <w:b/>
        </w:rPr>
        <w:t>E. 10</w:t>
      </w:r>
    </w:p>
    <w:p>
      <w:r>
        <w:t>jours dès la réception du procès-verbal de l’audience préliminaire – qui indiquait, sous la rubrique « moyens de preuve des parties demanderesses », le dépôt d’un nouveau décompte accompagné de 49 pièces justificatives –, elles pouvaient être utilisées comme moyen de preuve. Cette dernière motivation, que l’appelante n’entreprend pas devant la cour de céans, ne prête pas le flanc à la critique. On ajoutera du reste que l’expert a lui-même joint à son premier rapport d’expertise, ainsi qu’à son complément, certains titres qui auraient pu (voire auraient dû) être déposés durant l’échange d’écritures. Enfin, lorsque l’autorité a pu forger sa conviction sur la base d'une appréciation des preuves versées au dossier, les questions liées au fardeau de l’allégation et de la preuve ne se posent plus (cf. ATF 130 III 591 consid. 5.4). Dans ces circonstances, l’on peut se rallier aux conclusions de l’expert, dans la mesure où elles reposent sur les pièces querellées, et, par conséquent, admettre ces postes du dommage, sous réserve – pour ce qui est de leur montant exact – des précisions qui vont suivre (cf. infra, consid. 5.3) concernant l’ampleur exacte du préjudice dont doit répondre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